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2DBE" w:rsidR="00552DBE" w:rsidP="36D63F82" w:rsidRDefault="00552DBE" w14:paraId="74732E43" w14:textId="16A8421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7"/>
          <w:szCs w:val="27"/>
        </w:rPr>
        <w:t xml:space="preserve">Lokal forskrift om elevpermisjon i </w:t>
      </w: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7"/>
          <w:szCs w:val="27"/>
        </w:rPr>
        <w:t>Melhus</w:t>
      </w: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7"/>
          <w:szCs w:val="27"/>
        </w:rPr>
        <w:t xml:space="preserve"> kommune fra 01.08.24</w:t>
      </w:r>
    </w:p>
    <w:p w:rsidR="4099EDE4" w:rsidP="36D63F82" w:rsidRDefault="4099EDE4" w14:paraId="6B4B3267" w14:textId="70295EF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</w:pPr>
    </w:p>
    <w:p w:rsidRPr="00552DBE" w:rsidR="00552DBE" w:rsidP="36D63F82" w:rsidRDefault="00552DBE" w14:paraId="01C2BF63" w14:textId="61637692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Fastsatt av kommunestyret i </w:t>
      </w: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Melhus</w:t>
      </w: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 kommune dato </w:t>
      </w:r>
      <w:r w:rsidRPr="36D63F82" w:rsidR="5182B26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21.05.2024 </w:t>
      </w: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m</w:t>
      </w: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ed hje</w:t>
      </w: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mmel i lov 9.juni 2023 nr. 30 om grunnskolen og den videregående opplæringa (opplæringsloven) § 2-2.</w:t>
      </w:r>
    </w:p>
    <w:p w:rsidR="00552DBE" w:rsidP="36D63F82" w:rsidRDefault="00552DBE" w14:paraId="6BCC6FF2" w14:textId="77777777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</w:p>
    <w:p w:rsidRPr="00552DBE" w:rsidR="00552DBE" w:rsidP="36D63F82" w:rsidRDefault="00552DBE" w14:paraId="2734D836" w14:textId="0B4B88D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7"/>
          <w:szCs w:val="27"/>
        </w:rPr>
        <w:t>§ 1 Formål og virkeområde</w:t>
      </w:r>
    </w:p>
    <w:p w:rsidRPr="00552DBE" w:rsidR="00552DBE" w:rsidP="36D63F82" w:rsidRDefault="00552DBE" w14:paraId="31575FA5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Elever har rett og plikt til grunnskoleopplæring, jf. opplæringsloven § 2-2.</w:t>
      </w:r>
    </w:p>
    <w:p w:rsidRPr="00552DBE" w:rsidR="00552DBE" w:rsidP="36D63F82" w:rsidRDefault="00552DBE" w14:paraId="7FFD071E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Denne forskriften gir informasjon om når en elev kan få permisjon fra skolen.</w:t>
      </w:r>
    </w:p>
    <w:p w:rsidRPr="00552DBE" w:rsidR="00552DBE" w:rsidP="36D63F82" w:rsidRDefault="00552DBE" w14:paraId="2907035C" w14:textId="3150FECB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Forskriften gjelder for alle elever ved alle grunnskolene i </w:t>
      </w: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Melhus</w:t>
      </w: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 kommune.</w:t>
      </w:r>
    </w:p>
    <w:p w:rsidR="00552DBE" w:rsidP="36D63F82" w:rsidRDefault="00552DBE" w14:paraId="2E4E8E07" w14:textId="77777777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</w:p>
    <w:p w:rsidRPr="00552DBE" w:rsidR="00552DBE" w:rsidP="36D63F82" w:rsidRDefault="00552DBE" w14:paraId="0D18A4D6" w14:textId="1CEF95B2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7"/>
          <w:szCs w:val="27"/>
        </w:rPr>
        <w:t>§ 2 Elevpermisjon</w:t>
      </w:r>
    </w:p>
    <w:p w:rsidRPr="00552DBE" w:rsidR="00552DBE" w:rsidP="36D63F82" w:rsidRDefault="00552DBE" w14:paraId="05785301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Når det er forsvarlig, kan skolen etter søknad fra foreldrene gi en elev fri i inntil to uker.</w:t>
      </w:r>
    </w:p>
    <w:p w:rsidRPr="00552DBE" w:rsidR="00552DBE" w:rsidP="36D63F82" w:rsidRDefault="00552DBE" w14:paraId="7414F5BF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Når foreldre søker om permisjon fra skolen for en elev skal skolen vurdere om hver enkelt permisjon er forsvarlig.</w:t>
      </w:r>
    </w:p>
    <w:p w:rsidRPr="00552DBE" w:rsidR="00552DBE" w:rsidP="36D63F82" w:rsidRDefault="00552DBE" w14:paraId="63249CEA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A2CF83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Skolene kan for eksempel innvilge permisjon for deltakelse kjøreopplæring ved trafikkskole, politisk arbeid og deltakelse på kultur-/idrettsarrangement.</w:t>
      </w:r>
    </w:p>
    <w:p w:rsidR="3A2CF832" w:rsidP="3A2CF832" w:rsidRDefault="3A2CF832" w14:paraId="3EE7A0EE" w14:textId="5E860DAC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</w:pPr>
    </w:p>
    <w:p w:rsidRPr="00552DBE" w:rsidR="00552DBE" w:rsidP="36D63F82" w:rsidRDefault="00552DBE" w14:paraId="0EA4B904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Det gis ikke permisjon i perioder med forberedelser og gjennomføring av:</w:t>
      </w:r>
    </w:p>
    <w:p w:rsidRPr="00552DBE" w:rsidR="00552DBE" w:rsidP="36D63F82" w:rsidRDefault="00552DBE" w14:paraId="605A9988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- Første uke etter skolestart</w:t>
      </w:r>
    </w:p>
    <w:p w:rsidRPr="00552DBE" w:rsidR="00552DBE" w:rsidP="36D63F82" w:rsidRDefault="00552DBE" w14:paraId="0EC0D066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- Nasjonale prøver</w:t>
      </w:r>
    </w:p>
    <w:p w:rsidRPr="00552DBE" w:rsidR="00552DBE" w:rsidP="36D63F82" w:rsidRDefault="00552DBE" w14:paraId="1607924E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- Statlige kartleggingsprøver</w:t>
      </w:r>
    </w:p>
    <w:p w:rsidRPr="00552DBE" w:rsidR="00552DBE" w:rsidP="36D63F82" w:rsidRDefault="00552DBE" w14:paraId="3B84651F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- Eksamener</w:t>
      </w:r>
    </w:p>
    <w:p w:rsidRPr="00552DBE" w:rsidR="00552DBE" w:rsidP="36D63F82" w:rsidRDefault="00552DBE" w14:paraId="6128253C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- Prøver og vurderingssituasjoner som er terminfestet</w:t>
      </w:r>
    </w:p>
    <w:p w:rsidR="4099EDE4" w:rsidP="36D63F82" w:rsidRDefault="4099EDE4" w14:paraId="2DCE481E" w14:textId="490DF42D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</w:pPr>
    </w:p>
    <w:p w:rsidRPr="00552DBE" w:rsidR="00552DBE" w:rsidP="36D63F82" w:rsidRDefault="00552DBE" w14:paraId="5C2959DE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Forsvarligheten vurderes individuelt og gjøres med grunnlag i faglig-pedagogisk kunnskap og erfaring. Det legges vekt på om foreldrene sørger for at eleven får den opplæringa som må til for å kunne følge undervisningen på skolen etter permisjonen. Vurderingen er opp til skolen og er en skjønnsmessig vurdering.</w:t>
      </w:r>
    </w:p>
    <w:p w:rsidRPr="00552DBE" w:rsidR="00552DBE" w:rsidP="36D63F82" w:rsidRDefault="00552DBE" w14:paraId="39698924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En permisjon avkorter retten for eleven til grunnskoleopplæring tilsvarende.</w:t>
      </w:r>
    </w:p>
    <w:p w:rsidR="4099EDE4" w:rsidP="36D63F82" w:rsidRDefault="4099EDE4" w14:paraId="561E95FD" w14:textId="0D0108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</w:pPr>
    </w:p>
    <w:p w:rsidRPr="00552DBE" w:rsidR="00552DBE" w:rsidP="36D63F82" w:rsidRDefault="00552DBE" w14:paraId="20BF0EB6" w14:textId="1B2B99ED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En elev som hører til ett annet trossamfunn enn Den norske kirke, har rett til permisjon fra skolen de dagene trossamfunnet har helligdag</w:t>
      </w:r>
      <w:r w:rsidRPr="36D63F82" w:rsidR="7AE927F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.</w:t>
      </w: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 </w:t>
      </w:r>
      <w:r w:rsidRPr="36D63F82" w:rsidR="1B56466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Forutsetningen for dette er at </w:t>
      </w: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foreldrene sørger for den opplæring som må til for at eleven skal kunne følge med i opplæringa på skolen etter fraværet.</w:t>
      </w:r>
    </w:p>
    <w:p w:rsidR="00552DBE" w:rsidP="36D63F82" w:rsidRDefault="00552DBE" w14:paraId="10DF918D" w14:textId="77777777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</w:p>
    <w:p w:rsidRPr="00552DBE" w:rsidR="00552DBE" w:rsidP="36D63F82" w:rsidRDefault="00552DBE" w14:paraId="5CA40D6B" w14:textId="2E29B3B2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7"/>
          <w:szCs w:val="27"/>
        </w:rPr>
        <w:t>§ 3 Saksbehandling</w:t>
      </w:r>
    </w:p>
    <w:p w:rsidRPr="00552DBE" w:rsidR="00552DBE" w:rsidP="36D63F82" w:rsidRDefault="00552DBE" w14:paraId="1CA3AFA5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Foreldrene søker skolen om permisjon i så god tid som mulig og begrunner hvorfor eleven bes fri.</w:t>
      </w:r>
    </w:p>
    <w:p w:rsidRPr="00552DBE" w:rsidR="00552DBE" w:rsidP="36D63F82" w:rsidRDefault="00552DBE" w14:paraId="4E960463" w14:textId="489AD453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A2CF83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Kontaktlærer kan innvilge permisjon på inn</w:t>
      </w:r>
      <w:r w:rsidRPr="3A2CF832" w:rsidR="00552DBE">
        <w:rPr>
          <w:rFonts w:ascii="Calibri" w:hAnsi="Calibri" w:eastAsia="Calibri" w:cs="Calibri" w:asciiTheme="minorAscii" w:hAnsiTheme="minorAscii" w:eastAsiaTheme="minorAscii" w:cstheme="minorAscii"/>
          <w:color w:val="auto"/>
          <w:sz w:val="27"/>
          <w:szCs w:val="27"/>
        </w:rPr>
        <w:t xml:space="preserve">til </w:t>
      </w:r>
      <w:r w:rsidRPr="3A2CF832" w:rsidR="33EA80C7">
        <w:rPr>
          <w:rFonts w:ascii="Calibri" w:hAnsi="Calibri" w:eastAsia="Calibri" w:cs="Calibri" w:asciiTheme="minorAscii" w:hAnsiTheme="minorAscii" w:eastAsiaTheme="minorAscii" w:cstheme="minorAscii"/>
          <w:color w:val="auto"/>
          <w:sz w:val="27"/>
          <w:szCs w:val="27"/>
        </w:rPr>
        <w:t xml:space="preserve">tre </w:t>
      </w:r>
      <w:r w:rsidRPr="3A2CF832" w:rsidR="00552DBE">
        <w:rPr>
          <w:rFonts w:ascii="Calibri" w:hAnsi="Calibri" w:eastAsia="Calibri" w:cs="Calibri" w:asciiTheme="minorAscii" w:hAnsiTheme="minorAscii" w:eastAsiaTheme="minorAscii" w:cstheme="minorAscii"/>
          <w:color w:val="auto"/>
          <w:sz w:val="27"/>
          <w:szCs w:val="27"/>
        </w:rPr>
        <w:t>dag</w:t>
      </w:r>
      <w:r w:rsidRPr="3A2CF832" w:rsidR="46FFC84A">
        <w:rPr>
          <w:rFonts w:ascii="Calibri" w:hAnsi="Calibri" w:eastAsia="Calibri" w:cs="Calibri" w:asciiTheme="minorAscii" w:hAnsiTheme="minorAscii" w:eastAsiaTheme="minorAscii" w:cstheme="minorAscii"/>
          <w:color w:val="auto"/>
          <w:sz w:val="27"/>
          <w:szCs w:val="27"/>
        </w:rPr>
        <w:t>er</w:t>
      </w:r>
      <w:r w:rsidRPr="3A2CF832" w:rsidR="00552DBE">
        <w:rPr>
          <w:rFonts w:ascii="Calibri" w:hAnsi="Calibri" w:eastAsia="Calibri" w:cs="Calibri" w:asciiTheme="minorAscii" w:hAnsiTheme="minorAscii" w:eastAsiaTheme="minorAscii" w:cstheme="minorAscii"/>
          <w:color w:val="auto"/>
          <w:sz w:val="27"/>
          <w:szCs w:val="27"/>
        </w:rPr>
        <w:t xml:space="preserve"> </w:t>
      </w:r>
      <w:r w:rsidRPr="3A2CF832" w:rsidR="00552DBE">
        <w:rPr>
          <w:rFonts w:ascii="Calibri" w:hAnsi="Calibri" w:eastAsia="Calibri" w:cs="Calibri" w:asciiTheme="minorAscii" w:hAnsiTheme="minorAscii" w:eastAsiaTheme="minorAscii" w:cstheme="minorAscii"/>
          <w:color w:val="auto"/>
          <w:sz w:val="27"/>
          <w:szCs w:val="27"/>
        </w:rPr>
        <w:t>der de</w:t>
      </w:r>
      <w:r w:rsidRPr="3A2CF83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t er forsvarlig. Det fattes ikke vedtak.</w:t>
      </w:r>
    </w:p>
    <w:p w:rsidRPr="00552DBE" w:rsidR="00552DBE" w:rsidP="36D63F82" w:rsidRDefault="00552DBE" w14:paraId="6C3333B0" w14:textId="4B81481A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A2CF83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Skolen, ved rektor, vurderer forsvarligheten i permisjon etter dialog med kontaktlærer for permisjoner som varer ut over </w:t>
      </w:r>
      <w:r w:rsidRPr="3A2CF832" w:rsidR="6CDFFE2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tre</w:t>
      </w:r>
      <w:r w:rsidRPr="3A2CF83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 dag</w:t>
      </w:r>
      <w:r w:rsidRPr="3A2CF832" w:rsidR="17A3E0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er</w:t>
      </w:r>
      <w:r w:rsidRPr="3A2CF83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.</w:t>
      </w:r>
    </w:p>
    <w:p w:rsidRPr="00552DBE" w:rsidR="00552DBE" w:rsidP="36D63F82" w:rsidRDefault="00552DBE" w14:paraId="0352CC18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Skolen fatter vedtak med begrunnelse for innvilgelse/avslag. Vedtaket er et enkeltvedtak med klagerett. Vedtaket fattes av rektor.</w:t>
      </w:r>
    </w:p>
    <w:p w:rsidR="00552DBE" w:rsidP="36D63F82" w:rsidRDefault="00552DBE" w14:paraId="7BEC3A40" w14:textId="77777777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</w:p>
    <w:p w:rsidRPr="00552DBE" w:rsidR="00552DBE" w:rsidP="36D63F82" w:rsidRDefault="00552DBE" w14:paraId="1A6C7097" w14:textId="6BDF988D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7"/>
          <w:szCs w:val="27"/>
        </w:rPr>
        <w:t>§ 4 Iverksetting</w:t>
      </w:r>
    </w:p>
    <w:p w:rsidRPr="00552DBE" w:rsidR="00552DBE" w:rsidP="36D63F82" w:rsidRDefault="00552DBE" w14:paraId="4D28095A" w14:textId="77777777">
      <w:pPr>
        <w:pStyle w:val="NormalWeb"/>
        <w:ind w:firstLine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36D63F82" w:rsidR="00552D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Denne forskriften trer i kraft 1.august 2024.</w:t>
      </w:r>
    </w:p>
    <w:p w:rsidRPr="00552DBE" w:rsidR="004C4CC7" w:rsidP="36D63F82" w:rsidRDefault="004C4CC7" w14:paraId="66D7787A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Pr="00552DBE" w:rsidR="004C4CC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BE"/>
    <w:rsid w:val="0010FCA3"/>
    <w:rsid w:val="004C4CC7"/>
    <w:rsid w:val="00552DBE"/>
    <w:rsid w:val="00FF1EFF"/>
    <w:rsid w:val="06495AE1"/>
    <w:rsid w:val="116F4BC6"/>
    <w:rsid w:val="1233D712"/>
    <w:rsid w:val="17A3E0A8"/>
    <w:rsid w:val="1B56466A"/>
    <w:rsid w:val="33EA80C7"/>
    <w:rsid w:val="36D63F82"/>
    <w:rsid w:val="3A2CF832"/>
    <w:rsid w:val="4099EDE4"/>
    <w:rsid w:val="46FFC84A"/>
    <w:rsid w:val="5182B267"/>
    <w:rsid w:val="59477E19"/>
    <w:rsid w:val="5C2BCFF0"/>
    <w:rsid w:val="64FEB0B7"/>
    <w:rsid w:val="6CDFFE2F"/>
    <w:rsid w:val="7AE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4B49"/>
  <w15:chartTrackingRefBased/>
  <w15:docId w15:val="{993E2032-F3F2-46BC-BC09-55303AF8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297D9FE6CE54B88C73E52487B67F4" ma:contentTypeVersion="18" ma:contentTypeDescription="Opprett et nytt dokument." ma:contentTypeScope="" ma:versionID="47949f1f3e895bc2b0f399b5c7bb475d">
  <xsd:schema xmlns:xsd="http://www.w3.org/2001/XMLSchema" xmlns:xs="http://www.w3.org/2001/XMLSchema" xmlns:p="http://schemas.microsoft.com/office/2006/metadata/properties" xmlns:ns2="6c55daaa-3e07-406c-b1a0-69cfaa41ffe5" xmlns:ns3="fc388264-f0a6-4554-96d7-6b646a8d2493" targetNamespace="http://schemas.microsoft.com/office/2006/metadata/properties" ma:root="true" ma:fieldsID="b7e049992aaceb49625528f43a7ecf7e" ns2:_="" ns3:_="">
    <xsd:import namespace="6c55daaa-3e07-406c-b1a0-69cfaa41ffe5"/>
    <xsd:import namespace="fc388264-f0a6-4554-96d7-6b646a8d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daaa-3e07-406c-b1a0-69cfaa41f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8b728a6-cfc8-4f8e-a17b-1d91896ee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8264-f0a6-4554-96d7-6b646a8d2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54a605-1517-4a82-ad88-fbce78c17628}" ma:internalName="TaxCatchAll" ma:showField="CatchAllData" ma:web="fc388264-f0a6-4554-96d7-6b646a8d2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55daaa-3e07-406c-b1a0-69cfaa41ffe5">
      <Terms xmlns="http://schemas.microsoft.com/office/infopath/2007/PartnerControls"/>
    </lcf76f155ced4ddcb4097134ff3c332f>
    <TaxCatchAll xmlns="fc388264-f0a6-4554-96d7-6b646a8d2493" xsi:nil="true"/>
  </documentManagement>
</p:properties>
</file>

<file path=customXml/itemProps1.xml><?xml version="1.0" encoding="utf-8"?>
<ds:datastoreItem xmlns:ds="http://schemas.openxmlformats.org/officeDocument/2006/customXml" ds:itemID="{D4F72AA2-9EDA-423A-8B96-0AB7CBA0B750}"/>
</file>

<file path=customXml/itemProps2.xml><?xml version="1.0" encoding="utf-8"?>
<ds:datastoreItem xmlns:ds="http://schemas.openxmlformats.org/officeDocument/2006/customXml" ds:itemID="{DD26131F-46D8-46B9-94BC-FFF451F43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35E19-501B-43E0-AA77-34D503DFE284}">
  <ds:schemaRefs>
    <ds:schemaRef ds:uri="http://purl.org/dc/terms/"/>
    <ds:schemaRef ds:uri="9b9f10fb-042b-4781-9424-4af72372db91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db06773-115f-4185-a903-e7132d6930e2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Pål Heide Kielland</dc:creator>
  <keywords/>
  <dc:description/>
  <lastModifiedBy>Pål Heide Kielland</lastModifiedBy>
  <revision>5</revision>
  <dcterms:created xsi:type="dcterms:W3CDTF">2024-01-29T10:50:00.0000000Z</dcterms:created>
  <dcterms:modified xsi:type="dcterms:W3CDTF">2024-02-12T13:35:36.3789697Z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0x0101007F6207DE7D27624499484499698ED566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